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ФТД.04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ФТД.04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психологию групп и психологию лидерства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общие правила функционирования сферы финансов как составляющей социального взаимодействия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знать  принципы, правила и методы взаимодействия с финансовыми институтами и организациями в процессе осуществления финансовых операций; источники информации о существующих финансовых продуктах, их производителях, существующих каналах получения информации и консультационных услуг</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формировать деловые коммуникации в процессе финансовых операций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использовать информацию о существующих финансовых продуктах, их производителях, каналах получения информации и консультационных услуг в процессе принятия финансовых решений; осуществлять финансовое планирование и контроль личного бюджета и бюджета домохозяйства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понимать позицию собеседника, различать в его речи мнение, доказательства, факты, гипотезы, аксиомы, теории и пр.</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и методами взаимодействия с финансовыми учреждениями (письменные и устные консультации, работа с персональным финансовым менеджером, порталами финансовых услуг и т.п.)</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методами финансового планирования, контроля личного бюджета, осознанного выбора финансовых продуктов и услуг с учётом информации об имеющихся возможностях и рисках</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УК-3.16 владеть методами влияния и управления командой</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ФТД.04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p>
            <w:pPr>
              <w:jc w:val="center"/>
              <w:spacing w:after="0" w:line="240" w:lineRule="auto"/>
              <w:rPr>
                <w:sz w:val="22"/>
                <w:szCs w:val="22"/>
              </w:rPr>
            </w:pPr>
            <w:r>
              <w:rPr>
                <w:rFonts w:ascii="Times New Roman" w:hAnsi="Times New Roman" w:cs="Times New Roman"/>
                <w:color w:val="#000000"/>
                <w:sz w:val="22"/>
                <w:szCs w:val="22"/>
              </w:rPr>
              <w:t> Практикум по психологическому консультированию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8180.2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984.75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Мифтахова,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http://www.iprbookshop.ru/32218.html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013.45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21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2023-2024_ФГОС3++2023_Бак-ЗФО-ПО2(НОиИнф)(23)_plx_Организация добровольческой (волонтерской) деятельности и взаимодействие с социально ориентированными НКО</dc:title>
  <dc:creator>FastReport.NET</dc:creator>
</cp:coreProperties>
</file>